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240" w:after="60"/>
        <w:ind w:left="708"/>
        <w:jc w:val="right"/>
        <w:outlineLvl w:val="0"/>
        <w:rPr>
          <w:rFonts w:ascii="Calibri" w:hAnsi="Calibri" w:eastAsia="Calibri" w:cs="Calibri" w:asciiTheme="minorHAnsi" w:cstheme="minorHAnsi" w:hAnsiTheme="minorHAnsi"/>
          <w:b/>
          <w:kern w:val="2"/>
          <w:sz w:val="28"/>
          <w:szCs w:val="20"/>
        </w:rPr>
      </w:pPr>
      <w:bookmarkStart w:id="0" w:name="_Toc72155148"/>
      <w:bookmarkStart w:id="1" w:name="_Toc32565681"/>
      <w:r>
        <w:rPr>
          <w:rFonts w:eastAsia="Calibri" w:cs="Calibri" w:cstheme="minorHAnsi"/>
          <w:b/>
          <w:kern w:val="2"/>
          <w:sz w:val="28"/>
          <w:szCs w:val="20"/>
        </w:rPr>
        <w:t>Załącznik nr 2a</w:t>
      </w:r>
      <w:bookmarkEnd w:id="0"/>
      <w:bookmarkEnd w:id="1"/>
      <w:r>
        <w:rPr>
          <w:rFonts w:eastAsia="Calibri" w:cs="Calibri" w:cstheme="minorHAnsi"/>
          <w:b/>
          <w:kern w:val="2"/>
          <w:sz w:val="28"/>
          <w:szCs w:val="20"/>
        </w:rPr>
        <w:t>-dołączyć do oferty</w:t>
      </w:r>
    </w:p>
    <w:p>
      <w:pPr>
        <w:pStyle w:val="Normal"/>
        <w:keepNext w:val="true"/>
        <w:widowControl w:val="false"/>
        <w:spacing w:lineRule="auto" w:line="247" w:before="120" w:after="120"/>
        <w:ind w:hanging="10" w:left="152"/>
        <w:jc w:val="both"/>
        <w:rPr>
          <w:rFonts w:ascii="Calibri" w:hAnsi="Calibri" w:eastAsia="Tahoma" w:cs="Calibri" w:asciiTheme="minorHAnsi" w:cstheme="minorHAnsi" w:hAnsiTheme="minorHAnsi"/>
          <w:b/>
          <w:color w:val="000000"/>
          <w:sz w:val="22"/>
          <w:szCs w:val="22"/>
          <w:lang w:eastAsia="pl-PL"/>
        </w:rPr>
      </w:pPr>
      <w:r>
        <w:rPr>
          <w:rFonts w:eastAsia="Tahoma" w:cs="Calibri" w:cstheme="minorHAnsi"/>
          <w:b/>
          <w:color w:val="000000"/>
          <w:sz w:val="22"/>
          <w:szCs w:val="22"/>
          <w:lang w:eastAsia="pl-PL"/>
        </w:rPr>
        <w:t>Znak postępowania: MK.271.2.</w:t>
      </w:r>
      <w:r>
        <w:rPr>
          <w:rFonts w:eastAsia="Tahoma" w:cs="Calibri" w:cstheme="minorHAnsi"/>
          <w:b/>
          <w:color w:val="000000"/>
          <w:sz w:val="22"/>
          <w:szCs w:val="22"/>
          <w:lang w:eastAsia="pl-PL"/>
        </w:rPr>
        <w:t>4</w:t>
      </w:r>
      <w:r>
        <w:rPr>
          <w:rFonts w:eastAsia="Tahoma" w:cs="Calibri" w:cstheme="minorHAnsi"/>
          <w:b/>
          <w:color w:val="000000"/>
          <w:sz w:val="22"/>
          <w:szCs w:val="22"/>
          <w:lang w:eastAsia="pl-PL"/>
        </w:rPr>
        <w:t>.2026</w:t>
      </w:r>
    </w:p>
    <w:p>
      <w:pPr>
        <w:pStyle w:val="Normal"/>
        <w:spacing w:lineRule="auto" w:line="247" w:before="0" w:after="5"/>
        <w:ind w:hanging="10" w:left="152"/>
        <w:jc w:val="both"/>
        <w:rPr>
          <w:rFonts w:ascii="Calibri" w:hAnsi="Calibri" w:eastAsia="Tahoma" w:cs="Calibri" w:asciiTheme="minorHAnsi" w:cstheme="minorHAnsi" w:hAnsiTheme="minorHAnsi"/>
          <w:color w:val="000000"/>
          <w:sz w:val="20"/>
          <w:szCs w:val="22"/>
        </w:rPr>
      </w:pPr>
      <w:r>
        <w:rPr>
          <w:rFonts w:eastAsia="Tahoma" w:cs="Calibri" w:cstheme="minorHAnsi"/>
          <w:color w:val="000000"/>
          <w:sz w:val="20"/>
          <w:szCs w:val="22"/>
        </w:rPr>
      </w:r>
    </w:p>
    <w:tbl>
      <w:tblPr>
        <w:tblW w:w="9011" w:type="dxa"/>
        <w:jc w:val="left"/>
        <w:tblInd w:w="6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362"/>
        <w:gridCol w:w="5649"/>
      </w:tblGrid>
      <w:tr>
        <w:trPr>
          <w:trHeight w:val="587" w:hRule="atLeast"/>
        </w:trPr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5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ahoma" w:cs="Calibri" w:cstheme="minorHAnsi"/>
                <w:color w:val="00000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ahoma" w:cs="Calibri" w:cstheme="minorHAnsi"/>
                <w:color w:val="000000"/>
                <w:sz w:val="22"/>
                <w:szCs w:val="22"/>
                <w:lang w:eastAsia="pl-PL"/>
              </w:rPr>
            </w:r>
          </w:p>
        </w:tc>
      </w:tr>
      <w:tr>
        <w:trPr>
          <w:trHeight w:val="494" w:hRule="atLeast"/>
        </w:trPr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5"/>
          </w:tcPr>
          <w:p>
            <w:pPr>
              <w:pStyle w:val="Normal"/>
              <w:keepNext w:val="true"/>
              <w:widowControl w:val="false"/>
              <w:spacing w:lineRule="auto" w:line="247" w:before="0" w:after="5"/>
              <w:ind w:hanging="10" w:left="152"/>
              <w:rPr>
                <w:rFonts w:ascii="Calibri" w:hAnsi="Calibri" w:eastAsia="Tahoma" w:cs="Calibri" w:asciiTheme="minorHAnsi" w:cstheme="minorHAnsi" w:hAnsiTheme="minorHAnsi"/>
                <w:color w:val="000000"/>
                <w:sz w:val="22"/>
                <w:szCs w:val="22"/>
                <w:lang w:val="de-DE" w:eastAsia="pl-PL"/>
              </w:rPr>
            </w:pPr>
            <w:r>
              <w:rPr>
                <w:rFonts w:eastAsia="Tahoma" w:cs="Calibri" w:cstheme="minorHAnsi"/>
                <w:color w:val="000000"/>
                <w:sz w:val="22"/>
                <w:szCs w:val="22"/>
                <w:lang w:eastAsia="pl-PL"/>
              </w:rPr>
              <w:t xml:space="preserve">Adres Wykonawcy:                                                  </w:t>
              <w:br/>
              <w:t>kod, miejscowość, ulica, nr lokalu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22"/>
                <w:szCs w:val="22"/>
                <w:lang w:val="de-DE" w:eastAsia="pl-PL"/>
              </w:rPr>
            </w:pPr>
            <w:r>
              <w:rPr>
                <w:rFonts w:eastAsia="Tahoma" w:cs="Calibri" w:cstheme="minorHAnsi"/>
                <w:color w:val="000000"/>
                <w:sz w:val="22"/>
                <w:szCs w:val="22"/>
                <w:lang w:val="de-DE" w:eastAsia="pl-PL"/>
              </w:rPr>
            </w:r>
          </w:p>
        </w:tc>
      </w:tr>
      <w:tr>
        <w:trPr>
          <w:trHeight w:val="475" w:hRule="atLeast"/>
        </w:trPr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5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22"/>
                <w:szCs w:val="22"/>
                <w:lang w:val="de-DE" w:eastAsia="pl-PL"/>
              </w:rPr>
            </w:pPr>
            <w:r>
              <w:rPr>
                <w:rFonts w:eastAsia="Tahoma" w:cs="Calibri" w:cstheme="minorHAnsi"/>
                <w:color w:val="000000"/>
                <w:sz w:val="22"/>
                <w:szCs w:val="22"/>
                <w:lang w:val="de-DE" w:eastAsia="pl-PL"/>
              </w:rPr>
              <w:t>NIP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22"/>
                <w:szCs w:val="22"/>
                <w:lang w:val="de-DE" w:eastAsia="pl-PL"/>
              </w:rPr>
            </w:pPr>
            <w:r>
              <w:rPr>
                <w:rFonts w:eastAsia="Tahoma" w:cs="Calibri" w:cstheme="minorHAnsi"/>
                <w:color w:val="000000"/>
                <w:sz w:val="22"/>
                <w:szCs w:val="22"/>
                <w:lang w:val="de-DE" w:eastAsia="pl-PL"/>
              </w:rPr>
            </w:r>
          </w:p>
        </w:tc>
      </w:tr>
      <w:tr>
        <w:trPr>
          <w:trHeight w:val="494" w:hRule="atLeast"/>
        </w:trPr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5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22"/>
                <w:szCs w:val="22"/>
                <w:lang w:val="de-DE" w:eastAsia="pl-PL"/>
              </w:rPr>
            </w:pPr>
            <w:r>
              <w:rPr>
                <w:rFonts w:eastAsia="Tahoma" w:cs="Calibri" w:cstheme="minorHAnsi"/>
                <w:color w:val="000000"/>
                <w:sz w:val="22"/>
                <w:szCs w:val="22"/>
                <w:lang w:val="de-DE" w:eastAsia="pl-PL"/>
              </w:rPr>
              <w:t>REGON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22"/>
                <w:szCs w:val="22"/>
                <w:lang w:val="de-DE" w:eastAsia="pl-PL"/>
              </w:rPr>
            </w:pPr>
            <w:r>
              <w:rPr>
                <w:rFonts w:eastAsia="Tahoma" w:cs="Calibri" w:cstheme="minorHAnsi"/>
                <w:color w:val="000000"/>
                <w:sz w:val="22"/>
                <w:szCs w:val="22"/>
                <w:lang w:val="de-DE" w:eastAsia="pl-PL"/>
              </w:rPr>
            </w:r>
          </w:p>
        </w:tc>
      </w:tr>
    </w:tbl>
    <w:p>
      <w:pPr>
        <w:pStyle w:val="Normal"/>
        <w:spacing w:lineRule="auto" w:line="240" w:before="0" w:after="0"/>
        <w:ind w:hanging="10" w:left="426" w:right="14"/>
        <w:contextualSpacing/>
        <w:jc w:val="center"/>
        <w:rPr>
          <w:rFonts w:ascii="Calibri" w:hAnsi="Calibri" w:eastAsia="Calibri" w:cs="Calibri" w:asciiTheme="minorHAnsi" w:cstheme="minorHAnsi" w:hAnsiTheme="minorHAnsi"/>
          <w:b/>
          <w:iCs/>
          <w:sz w:val="28"/>
          <w:szCs w:val="28"/>
        </w:rPr>
      </w:pPr>
      <w:r>
        <w:rPr>
          <w:rFonts w:eastAsia="Calibri" w:cs="Calibri" w:cstheme="minorHAnsi"/>
          <w:b/>
          <w:iCs/>
          <w:sz w:val="28"/>
          <w:szCs w:val="28"/>
        </w:rPr>
      </w:r>
    </w:p>
    <w:p>
      <w:pPr>
        <w:pStyle w:val="Normal"/>
        <w:spacing w:lineRule="auto" w:line="240" w:before="0" w:after="0"/>
        <w:ind w:hanging="10" w:left="426" w:right="14"/>
        <w:contextualSpacing/>
        <w:jc w:val="center"/>
        <w:rPr>
          <w:rFonts w:ascii="Calibri" w:hAnsi="Calibri" w:eastAsia="Calibri" w:cs="Calibri" w:asciiTheme="minorHAnsi" w:cstheme="minorHAnsi" w:hAnsiTheme="minorHAnsi"/>
          <w:b/>
          <w:iCs/>
          <w:sz w:val="28"/>
          <w:szCs w:val="28"/>
        </w:rPr>
      </w:pPr>
      <w:r>
        <w:rPr>
          <w:rFonts w:eastAsia="Calibri" w:cs="Calibri" w:cstheme="minorHAnsi"/>
          <w:b/>
          <w:iCs/>
          <w:sz w:val="28"/>
          <w:szCs w:val="28"/>
        </w:rPr>
        <w:t>Formularz cenowo-techniczny</w:t>
      </w:r>
    </w:p>
    <w:p>
      <w:pPr>
        <w:pStyle w:val="Normal"/>
        <w:spacing w:lineRule="auto" w:line="259" w:before="0" w:after="0"/>
        <w:contextualSpacing/>
        <w:jc w:val="both"/>
        <w:rPr>
          <w:rFonts w:eastAsia="Calibri" w:cs="Calibri" w:cstheme="minorHAnsi"/>
          <w:sz w:val="22"/>
          <w:szCs w:val="22"/>
        </w:rPr>
      </w:pPr>
      <w:r>
        <w:rPr>
          <w:rFonts w:eastAsia="Calibri" w:cs="Calibri" w:cstheme="minorHAnsi"/>
          <w:sz w:val="22"/>
          <w:szCs w:val="22"/>
        </w:rPr>
        <w:t xml:space="preserve">Nawiązując do ogłoszenia o postępowaniu </w:t>
      </w:r>
      <w:r>
        <w:rPr>
          <w:rFonts w:eastAsia="Calibri" w:cs="Calibri" w:cstheme="minorHAnsi"/>
          <w:b/>
          <w:sz w:val="22"/>
          <w:szCs w:val="22"/>
        </w:rPr>
        <w:t xml:space="preserve">na </w:t>
      </w:r>
      <w:bookmarkStart w:id="2" w:name="_Hlk135424925"/>
      <w:bookmarkStart w:id="3" w:name="_Hlk145020478"/>
      <w:r>
        <w:rPr>
          <w:rFonts w:eastAsia="Calibri" w:cs="Calibri" w:cstheme="minorHAnsi"/>
          <w:b/>
          <w:sz w:val="22"/>
          <w:szCs w:val="22"/>
        </w:rPr>
        <w:t>d</w:t>
      </w:r>
      <w:r>
        <w:rPr>
          <w:rFonts w:eastAsia="Calibri Light" w:cs="Calibri" w:cstheme="minorHAnsi"/>
          <w:b/>
          <w:sz w:val="22"/>
          <w:szCs w:val="22"/>
          <w:shd w:fill="FFFFFF" w:val="clear"/>
        </w:rPr>
        <w:t>ostawę</w:t>
      </w:r>
      <w:bookmarkEnd w:id="3"/>
      <w:r>
        <w:rPr>
          <w:rFonts w:eastAsia="Calibri Light" w:cs="Calibri" w:cstheme="minorHAnsi"/>
          <w:b/>
          <w:sz w:val="22"/>
          <w:szCs w:val="22"/>
          <w:shd w:fill="FFFFFF" w:val="clear"/>
        </w:rPr>
        <w:t xml:space="preserve"> </w:t>
      </w:r>
      <w:r>
        <w:rPr>
          <w:b/>
          <w:bCs/>
        </w:rPr>
        <w:t>serwera i macierzy wraz oprogramowaniem i uruchomieniem</w:t>
      </w:r>
      <w:r>
        <w:rPr>
          <w:rFonts w:eastAsia="Calibri" w:cs="Calibri" w:cstheme="minorHAnsi"/>
          <w:sz w:val="22"/>
          <w:szCs w:val="22"/>
        </w:rPr>
        <w:t>:</w:t>
      </w:r>
    </w:p>
    <w:p>
      <w:pPr>
        <w:pStyle w:val="Normal"/>
        <w:spacing w:lineRule="auto" w:line="259" w:before="0" w:after="0"/>
        <w:contextualSpacing/>
        <w:jc w:val="both"/>
        <w:rPr>
          <w:rFonts w:ascii="Calibri" w:hAnsi="Calibri" w:eastAsia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eastAsia="Calibri" w:cs="Calibri" w:cstheme="minorHAnsi"/>
          <w:sz w:val="22"/>
          <w:szCs w:val="22"/>
        </w:rPr>
        <w:t xml:space="preserve"> </w:t>
      </w:r>
      <w:bookmarkEnd w:id="2"/>
    </w:p>
    <w:p>
      <w:pPr>
        <w:pStyle w:val="Normal"/>
        <w:numPr>
          <w:ilvl w:val="0"/>
          <w:numId w:val="1"/>
        </w:numPr>
        <w:spacing w:lineRule="auto" w:line="240" w:before="0" w:after="0"/>
        <w:ind w:hanging="426" w:left="426" w:right="14"/>
        <w:contextualSpacing/>
        <w:jc w:val="both"/>
        <w:rPr>
          <w:rFonts w:ascii="Calibri" w:hAnsi="Calibri" w:eastAsia="Calibri" w:cs="Calibri" w:asciiTheme="minorHAnsi" w:cstheme="minorHAnsi" w:hAnsiTheme="minorHAnsi"/>
          <w:b/>
          <w:iCs/>
          <w:sz w:val="22"/>
          <w:szCs w:val="22"/>
        </w:rPr>
      </w:pPr>
      <w:r>
        <w:rPr>
          <w:rFonts w:eastAsia="Calibri" w:cs="Calibri" w:cstheme="minorHAnsi"/>
          <w:b/>
          <w:iCs/>
          <w:sz w:val="22"/>
          <w:szCs w:val="22"/>
        </w:rPr>
        <w:t>Formularz cenowy</w:t>
      </w:r>
    </w:p>
    <w:p>
      <w:pPr>
        <w:pStyle w:val="Normal"/>
        <w:spacing w:lineRule="auto" w:line="240" w:before="0" w:after="0"/>
        <w:ind w:firstLine="274" w:left="152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  <w:lang w:eastAsia="pl-PL"/>
        </w:rPr>
      </w:pPr>
      <w:r>
        <w:rPr>
          <w:rFonts w:eastAsia="Tahoma" w:cs="Calibri" w:cstheme="minorHAnsi"/>
          <w:color w:val="000000"/>
          <w:sz w:val="22"/>
          <w:szCs w:val="22"/>
          <w:lang w:eastAsia="pl-PL"/>
        </w:rPr>
        <w:t>Szczegółowa tabela cenowa:</w:t>
      </w:r>
    </w:p>
    <w:tbl>
      <w:tblPr>
        <w:tblW w:w="9192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0" w:lastRow="0" w:firstColumn="1" w:lastColumn="0" w:noHBand="0" w:val="00a0"/>
      </w:tblPr>
      <w:tblGrid>
        <w:gridCol w:w="705"/>
        <w:gridCol w:w="4355"/>
        <w:gridCol w:w="1250"/>
        <w:gridCol w:w="1410"/>
        <w:gridCol w:w="1472"/>
      </w:tblGrid>
      <w:tr>
        <w:trPr>
          <w:trHeight w:val="538" w:hRule="atLeast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7" w:before="0" w:after="5"/>
              <w:ind w:hanging="10" w:left="152"/>
              <w:jc w:val="center"/>
              <w:rPr>
                <w:rFonts w:ascii="Calibri" w:hAnsi="Calibri" w:eastAsia="Tahoma" w:cs="Calibri" w:asciiTheme="minorHAnsi" w:cstheme="minorHAnsi" w:hAnsiTheme="minorHAns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ahoma" w:cs="Calibri" w:cstheme="minorHAnsi"/>
                <w:b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355" w:type="dxa"/>
            <w:tcBorders>
              <w:top w:val="single" w:sz="8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7" w:before="0" w:after="5"/>
              <w:ind w:hanging="10" w:left="152"/>
              <w:jc w:val="center"/>
              <w:rPr>
                <w:rFonts w:ascii="Calibri" w:hAnsi="Calibri" w:eastAsia="Tahoma" w:cs="Calibri" w:asciiTheme="minorHAnsi" w:cstheme="minorHAnsi" w:hAnsiTheme="minorHAns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ahoma" w:cs="Calibri" w:cstheme="minorHAnsi"/>
                <w:b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7" w:before="0" w:after="5"/>
              <w:ind w:hanging="10" w:left="152"/>
              <w:jc w:val="center"/>
              <w:rPr/>
            </w:pPr>
            <w:r>
              <w:rPr>
                <w:rFonts w:eastAsia="Tahoma" w:cs="Calibri" w:cstheme="minorHAnsi"/>
                <w:b/>
                <w:color w:val="000000"/>
                <w:sz w:val="18"/>
                <w:szCs w:val="18"/>
                <w:lang w:eastAsia="pl-PL"/>
              </w:rPr>
              <w:t>Cena</w:t>
            </w:r>
          </w:p>
          <w:p>
            <w:pPr>
              <w:pStyle w:val="Normal"/>
              <w:spacing w:lineRule="auto" w:line="247" w:before="0" w:after="5"/>
              <w:ind w:hanging="10" w:left="152"/>
              <w:jc w:val="center"/>
              <w:rPr/>
            </w:pPr>
            <w:r>
              <w:rPr>
                <w:rFonts w:eastAsia="Tahoma" w:cs="Calibri" w:cstheme="minorHAnsi"/>
                <w:b/>
                <w:color w:val="000000"/>
                <w:sz w:val="18"/>
                <w:szCs w:val="18"/>
                <w:lang w:eastAsia="pl-PL"/>
              </w:rPr>
              <w:t>netto</w:t>
            </w:r>
          </w:p>
          <w:p>
            <w:pPr>
              <w:pStyle w:val="Normal"/>
              <w:spacing w:lineRule="auto" w:line="247" w:before="0" w:after="5"/>
              <w:ind w:hanging="10" w:left="152"/>
              <w:jc w:val="center"/>
              <w:rPr/>
            </w:pPr>
            <w:r>
              <w:rPr>
                <w:rFonts w:eastAsia="Tahoma" w:cs="Calibri" w:cstheme="minorHAnsi"/>
                <w:b/>
                <w:color w:val="000000"/>
                <w:sz w:val="18"/>
                <w:szCs w:val="18"/>
                <w:lang w:eastAsia="pl-PL"/>
              </w:rPr>
              <w:t>(zł)</w:t>
            </w:r>
          </w:p>
        </w:tc>
        <w:tc>
          <w:tcPr>
            <w:tcW w:w="141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7" w:before="0" w:after="5"/>
              <w:ind w:hanging="10" w:left="152"/>
              <w:jc w:val="center"/>
              <w:rPr/>
            </w:pPr>
            <w:r>
              <w:rPr>
                <w:rFonts w:eastAsia="Tahoma" w:cs="Calibri" w:cstheme="minorHAnsi"/>
                <w:b/>
                <w:color w:val="000000"/>
                <w:sz w:val="18"/>
                <w:szCs w:val="18"/>
                <w:lang w:eastAsia="pl-PL"/>
              </w:rPr>
              <w:t>Stawka VAT (%)</w:t>
            </w:r>
          </w:p>
        </w:tc>
        <w:tc>
          <w:tcPr>
            <w:tcW w:w="147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247" w:before="0" w:after="5"/>
              <w:ind w:hanging="10" w:left="152"/>
              <w:jc w:val="center"/>
              <w:rPr/>
            </w:pPr>
            <w:r>
              <w:rPr>
                <w:rFonts w:eastAsia="Tahoma" w:cs="Calibri" w:cstheme="minorHAnsi"/>
                <w:b/>
                <w:color w:val="000000"/>
                <w:sz w:val="18"/>
                <w:szCs w:val="18"/>
                <w:lang w:eastAsia="pl-PL"/>
              </w:rPr>
              <w:t>Wartość brutto</w:t>
            </w:r>
          </w:p>
          <w:p>
            <w:pPr>
              <w:pStyle w:val="Normal"/>
              <w:spacing w:lineRule="auto" w:line="247" w:before="0" w:after="5"/>
              <w:ind w:hanging="10" w:left="152"/>
              <w:jc w:val="center"/>
              <w:rPr/>
            </w:pPr>
            <w:r>
              <w:rPr>
                <w:rFonts w:eastAsia="Tahoma" w:cs="Calibri" w:cstheme="minorHAnsi"/>
                <w:b/>
                <w:color w:val="000000"/>
                <w:sz w:val="18"/>
                <w:szCs w:val="18"/>
                <w:lang w:eastAsia="pl-PL"/>
              </w:rPr>
              <w:t>(zł)</w:t>
            </w:r>
          </w:p>
        </w:tc>
      </w:tr>
      <w:tr>
        <w:trPr>
          <w:trHeight w:val="232" w:hRule="atLeast"/>
        </w:trPr>
        <w:tc>
          <w:tcPr>
            <w:tcW w:w="7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F2F2F2" w:val="clear"/>
            <w:vAlign w:val="center"/>
          </w:tcPr>
          <w:p>
            <w:pPr>
              <w:pStyle w:val="Normal"/>
              <w:spacing w:lineRule="auto" w:line="240" w:before="0" w:after="0"/>
              <w:ind w:left="-57"/>
              <w:contextualSpacing/>
              <w:rPr>
                <w:rFonts w:ascii="Calibri" w:hAnsi="Calibri" w:eastAsia="Calibri" w:cs="Calibri" w:asciiTheme="minorHAnsi" w:cstheme="minorHAnsi" w:hAnsiTheme="minorHAnsi"/>
                <w:b/>
                <w:color w:val="000000"/>
                <w:sz w:val="18"/>
                <w:szCs w:val="18"/>
              </w:rPr>
            </w:pPr>
            <w:r>
              <w:rPr>
                <w:rFonts w:eastAsia="Calibri" w:cs="Calibri" w:cstheme="minorHAnsi"/>
                <w:b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435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Serwer – 1 szt.</w:t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wskazanie producenta oraz odpowiednio</w:t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marki, modelu, numerów katalogowych,</w:t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numeru produktu (jeśli istnieje)</w:t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………………………………………………………</w:t>
            </w: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..</w:t>
            </w:r>
          </w:p>
          <w:p>
            <w:pPr>
              <w:pStyle w:val="Normal"/>
              <w:spacing w:lineRule="auto" w:line="247" w:before="0" w:after="5"/>
              <w:jc w:val="both"/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………………………………………………………</w:t>
            </w: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..</w:t>
            </w:r>
          </w:p>
          <w:p>
            <w:pPr>
              <w:pStyle w:val="Normal"/>
              <w:spacing w:lineRule="auto" w:line="247" w:before="0" w:after="5"/>
              <w:jc w:val="both"/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Macierz – 1 szt.</w:t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wskazanie producenta oraz odpowiednio</w:t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marki, modelu, numerów katalogowych,</w:t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numeru produktu (jeśli istnieje)</w:t>
            </w:r>
          </w:p>
          <w:p>
            <w:pPr>
              <w:pStyle w:val="Normal"/>
              <w:spacing w:lineRule="auto" w:line="247" w:before="0" w:after="5"/>
              <w:jc w:val="both"/>
              <w:rPr>
                <w:b/>
                <w:bCs/>
                <w:i/>
                <w:iCs/>
                <w:color w:val="FF0000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………………………………………………………</w:t>
            </w: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..</w:t>
            </w:r>
          </w:p>
          <w:p>
            <w:pPr>
              <w:pStyle w:val="Normal"/>
              <w:spacing w:lineRule="auto" w:line="247" w:before="0" w:after="5"/>
              <w:jc w:val="both"/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</w:pP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………………………………………………………</w:t>
            </w:r>
            <w:r>
              <w:rPr>
                <w:rFonts w:eastAsia="Tahoma" w:cs="Calibri" w:cstheme="minorHAnsi"/>
                <w:b/>
                <w:bCs/>
                <w:i/>
                <w:iCs/>
                <w:color w:val="FF0000"/>
                <w:sz w:val="18"/>
                <w:szCs w:val="18"/>
                <w:lang w:eastAsia="pl-PL"/>
              </w:rPr>
              <w:t>..</w:t>
            </w:r>
          </w:p>
          <w:p>
            <w:pPr>
              <w:pStyle w:val="Normal"/>
              <w:spacing w:lineRule="auto" w:line="247" w:before="0" w:after="5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Brak możliwości zweryfikowania sprzętu spowoduje odrzucenie oferty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ahoma" w:cs="Calibri" w:cstheme="minorHAnsi"/>
                <w:color w:val="000000"/>
                <w:sz w:val="18"/>
                <w:szCs w:val="18"/>
                <w:lang w:eastAsia="pl-PL"/>
              </w:rPr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ahoma" w:cs="Calibri" w:cstheme="minorHAnsi"/>
                <w:color w:val="000000"/>
                <w:sz w:val="18"/>
                <w:szCs w:val="18"/>
                <w:lang w:eastAsia="pl-PL"/>
              </w:rPr>
            </w:r>
          </w:p>
        </w:tc>
        <w:tc>
          <w:tcPr>
            <w:tcW w:w="147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spacing w:lineRule="auto" w:line="247" w:before="0" w:after="5"/>
              <w:ind w:hanging="10" w:left="152"/>
              <w:jc w:val="both"/>
              <w:rPr>
                <w:rFonts w:ascii="Calibri" w:hAnsi="Calibri" w:eastAsia="Tahoma" w:cs="Calibri" w:asciiTheme="minorHAnsi" w:cstheme="minorHAnsi" w:hAnsi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ahoma" w:cs="Calibri" w:cstheme="minorHAnsi"/>
                <w:color w:val="000000"/>
                <w:sz w:val="18"/>
                <w:szCs w:val="18"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ind w:left="426" w:right="14"/>
        <w:contextualSpacing/>
        <w:jc w:val="both"/>
        <w:rPr>
          <w:rFonts w:ascii="Calibri" w:hAnsi="Calibri" w:eastAsia="Calibri" w:cs="Calibri" w:asciiTheme="minorHAnsi" w:cstheme="minorHAnsi" w:hAnsiTheme="minorHAnsi"/>
          <w:b/>
          <w:iCs/>
          <w:sz w:val="22"/>
          <w:szCs w:val="22"/>
        </w:rPr>
      </w:pPr>
      <w:r>
        <w:rPr>
          <w:rFonts w:eastAsia="Calibri" w:cs="Calibri" w:cstheme="minorHAnsi"/>
          <w:b/>
          <w:iCs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426" w:left="426" w:right="14"/>
        <w:contextualSpacing/>
        <w:jc w:val="both"/>
        <w:rPr>
          <w:rFonts w:ascii="Calibri" w:hAnsi="Calibri" w:eastAsia="Calibri" w:cs="Calibri" w:asciiTheme="minorHAnsi" w:cstheme="minorHAnsi" w:hAnsiTheme="minorHAnsi"/>
          <w:b/>
          <w:iCs/>
          <w:sz w:val="22"/>
          <w:szCs w:val="22"/>
        </w:rPr>
      </w:pPr>
      <w:r>
        <w:rPr>
          <w:rFonts w:eastAsia="Calibri" w:cs="Calibri" w:cstheme="minorHAnsi"/>
          <w:b/>
          <w:iCs/>
          <w:sz w:val="22"/>
          <w:szCs w:val="22"/>
        </w:rPr>
        <w:t>Formularz techniczny</w:t>
      </w:r>
    </w:p>
    <w:p>
      <w:pPr>
        <w:pStyle w:val="Normal"/>
        <w:spacing w:lineRule="auto" w:line="240" w:before="0" w:after="0"/>
        <w:ind w:firstLine="274" w:left="152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  <w:lang w:eastAsia="pl-PL"/>
        </w:rPr>
      </w:pPr>
      <w:r>
        <w:rPr>
          <w:rFonts w:eastAsia="Tahoma" w:cs="Calibri" w:cstheme="minorHAnsi"/>
          <w:color w:val="000000"/>
          <w:sz w:val="22"/>
          <w:szCs w:val="22"/>
          <w:lang w:eastAsia="pl-PL"/>
        </w:rPr>
        <w:t>Szczegółowa tabela techniczna:</w:t>
      </w:r>
    </w:p>
    <w:p>
      <w:pPr>
        <w:pStyle w:val="Normal"/>
        <w:spacing w:lineRule="auto" w:line="240" w:before="0" w:after="0"/>
        <w:ind w:firstLine="274" w:left="152"/>
        <w:jc w:val="both"/>
        <w:rPr>
          <w:rFonts w:ascii="Calibri" w:hAnsi="Calibri" w:eastAsia="Calibri" w:cs="Calibri" w:asciiTheme="minorHAnsi" w:cstheme="minorHAnsi" w:hAnsiTheme="minorHAnsi"/>
          <w:sz w:val="22"/>
          <w:szCs w:val="22"/>
          <w:lang w:eastAsia="pl-PL"/>
        </w:rPr>
      </w:pPr>
      <w:r>
        <w:rPr>
          <w:rFonts w:eastAsia="Calibri" w:cs="Calibri" w:cstheme="minorHAnsi"/>
          <w:sz w:val="22"/>
          <w:szCs w:val="22"/>
          <w:lang w:eastAsia="pl-PL"/>
        </w:rPr>
      </w:r>
    </w:p>
    <w:tbl>
      <w:tblPr>
        <w:tblW w:w="9180" w:type="dxa"/>
        <w:jc w:val="left"/>
        <w:tblInd w:w="-18" w:type="dxa"/>
        <w:tblLayout w:type="fixed"/>
        <w:tblCellMar>
          <w:top w:w="0" w:type="dxa"/>
          <w:left w:w="90" w:type="dxa"/>
          <w:bottom w:w="0" w:type="dxa"/>
          <w:right w:w="90" w:type="dxa"/>
        </w:tblCellMar>
        <w:tblLook w:firstRow="1" w:noVBand="1" w:lastRow="0" w:firstColumn="1" w:lastColumn="0" w:noHBand="0" w:val="04a0"/>
      </w:tblPr>
      <w:tblGrid>
        <w:gridCol w:w="1679"/>
        <w:gridCol w:w="5654"/>
        <w:gridCol w:w="1847"/>
      </w:tblGrid>
      <w:tr>
        <w:trPr>
          <w:trHeight w:val="75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Calibri" w:hAnsi="Calibri" w:eastAsia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</w:rPr>
              <w:t>Lp.</w:t>
            </w:r>
          </w:p>
        </w:tc>
        <w:tc>
          <w:tcPr>
            <w:tcW w:w="5654" w:type="dxa"/>
            <w:tcBorders>
              <w:top w:val="single" w:sz="4" w:space="0" w:color="000000"/>
              <w:right w:val="single" w:sz="8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Calibri" w:hAnsi="Calibri" w:eastAsia="Calibri" w:cs="Calibri" w:asciiTheme="minorHAnsi" w:cstheme="minorHAnsi" w:hAnsiTheme="minorHAnsi"/>
                <w:b/>
                <w:bCs/>
              </w:rPr>
            </w:pPr>
            <w:r>
              <w:rPr>
                <w:rFonts w:eastAsia="Tahoma" w:cs="Calibri" w:cstheme="minorHAnsi"/>
                <w:b/>
                <w:sz w:val="20"/>
                <w:szCs w:val="20"/>
                <w:lang w:eastAsia="pl-PL"/>
              </w:rPr>
              <w:t>Przedmiot zamówienia (minimalne wymagania Zamawiającego)</w:t>
            </w:r>
          </w:p>
        </w:tc>
        <w:tc>
          <w:tcPr>
            <w:tcW w:w="1847" w:type="dxa"/>
            <w:tcBorders>
              <w:top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jc w:val="center"/>
              <w:rPr>
                <w:rFonts w:ascii="Calibri" w:hAnsi="Calibri" w:eastAsia="Tahoma" w:cs="Calibri" w:asciiTheme="minorHAnsi" w:cs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ahoma" w:cs="Calibri" w:cstheme="minorHAnsi"/>
                <w:b/>
                <w:sz w:val="20"/>
                <w:szCs w:val="20"/>
                <w:lang w:eastAsia="pl-PL"/>
              </w:rPr>
              <w:t>Parametry oferowane przez Wykonawcę (tak/nie)</w:t>
            </w:r>
          </w:p>
          <w:p>
            <w:pPr>
              <w:pStyle w:val="Normal"/>
              <w:spacing w:before="0" w:after="0"/>
              <w:jc w:val="center"/>
              <w:rPr>
                <w:rFonts w:ascii="Calibri" w:hAnsi="Calibri" w:eastAsia="Tahoma" w:cs="Calibri" w:asciiTheme="minorHAnsi" w:cs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ahoma" w:cs="Calibri" w:cstheme="minorHAnsi"/>
                <w:b/>
                <w:sz w:val="20"/>
                <w:szCs w:val="20"/>
                <w:lang w:eastAsia="pl-PL"/>
              </w:rPr>
              <w:t>NALEŻY WYPEŁNIĆ</w:t>
            </w:r>
          </w:p>
          <w:p>
            <w:pPr>
              <w:pStyle w:val="Normal"/>
              <w:spacing w:before="0" w:after="0"/>
              <w:jc w:val="center"/>
              <w:rPr>
                <w:rFonts w:ascii="Calibri" w:hAnsi="Calibri" w:eastAsia="Tahoma" w:cs="Calibri" w:asciiTheme="minorHAnsi" w:cstheme="minorHAnsi" w:hAnsi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ahoma" w:cs="Calibri" w:cstheme="minorHAnsi"/>
                <w:b/>
                <w:sz w:val="20"/>
                <w:szCs w:val="20"/>
                <w:lang w:eastAsia="pl-PL"/>
              </w:rPr>
              <w:t>WSZYSTKIE POZYCJE</w:t>
            </w:r>
          </w:p>
        </w:tc>
      </w:tr>
      <w:tr>
        <w:trPr>
          <w:trHeight w:val="734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Calibri" w:hAnsi="Calibri" w:eastAsia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bCs/>
              </w:rPr>
              <w:t>1.1.</w:t>
            </w:r>
          </w:p>
        </w:tc>
        <w:tc>
          <w:tcPr>
            <w:tcW w:w="75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Calibri" w:hAnsi="Calibri" w:eastAsia="Calibri" w:cs="Calibri" w:asciiTheme="minorHAnsi" w:cstheme="minorHAnsi" w:hAnsiTheme="minorHAnsi"/>
                <w:b/>
                <w:bCs/>
              </w:rPr>
            </w:pPr>
            <w:r>
              <w:rPr>
                <w:rFonts w:eastAsia="Calibri" w:cs="Calibri" w:cstheme="minorHAnsi"/>
                <w:b/>
                <w:bCs/>
              </w:rPr>
              <w:t>Serwer 1 szt.</w:t>
            </w:r>
          </w:p>
        </w:tc>
      </w:tr>
      <w:tr>
        <w:trPr>
          <w:trHeight w:val="405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/>
                <w:bCs/>
                <w:color w:val="000000"/>
                <w:sz w:val="20"/>
                <w:szCs w:val="20"/>
              </w:rPr>
              <w:t>Obudowa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Obudowa typu Tower z możliwością instalacji do 8 dysków twardych 2,5”.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/>
                <w:bCs/>
                <w:color w:val="000000"/>
                <w:sz w:val="20"/>
                <w:szCs w:val="20"/>
              </w:rPr>
              <w:t>Płyta główna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Płyta główna z możliwością instalacji dwóch fizycznych procesorów,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Płyta główna posiadająca minimum 16 slotów na pamięć RAM RDIMM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Płyta główna z możliwością zainstalowania do minimum 1TB pamięci RAM,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Płyta główna zaprojektowana przez producenta serwera i oznaczona trwale jego znakiem firmowym.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705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/>
                <w:bCs/>
                <w:color w:val="000000"/>
                <w:sz w:val="20"/>
                <w:szCs w:val="20"/>
              </w:rPr>
              <w:t>Procesor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Zainstalowany jeden procesor 16-rdzeniowy, min. 2.8GHz (częstotliwość bazowa), klasy x86, dedykowany do pracy z zaoferowanym serwerem, umożliwiający osiągnięcie wyniku min. 336 w teście SPECrate2017_int_base, dostępnym na stronie www.spec.org dla konfiguracji dwuprocesorowej.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/>
                <w:bCs/>
                <w:color w:val="000000"/>
                <w:sz w:val="20"/>
                <w:szCs w:val="20"/>
              </w:rPr>
              <w:t>Pamięć RAM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lang w:val="en-US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  <w:lang w:val="en-US"/>
              </w:rPr>
              <w:t>Minimum 64GB RDIMM 5600MT/s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lang w:val="en-US"/>
              </w:rPr>
            </w:pPr>
            <w:r>
              <w:rPr>
                <w:rFonts w:cs="Calibri" w:cstheme="minorHAnsi"/>
                <w:lang w:val="en-US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>Sprzętowy kontroler dyskowy, posiadający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>Możliwość konfiguracji poziomów RAID: 0, 1, 10.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>Zainstalowane:</w:t>
            </w:r>
          </w:p>
          <w:p>
            <w:pPr>
              <w:pStyle w:val="Normal"/>
              <w:numPr>
                <w:ilvl w:val="1"/>
                <w:numId w:val="2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2x dysk SSD SATA o pojemności min. 480GB, 6Gb, 2,5“ Hot-Plug.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>Możliwość zainstalowania dwóch dysków M.2 NVMe o pojemności min. 960GB Hot-Plug z możliwością konfiguracji RAID 1.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 xml:space="preserve">Wbudowane min. </w:t>
            </w:r>
            <w:r>
              <w:rPr>
                <w:rFonts w:cs="Calibri" w:cstheme="minorHAnsi"/>
                <w:color w:val="000000"/>
                <w:sz w:val="20"/>
                <w:szCs w:val="20"/>
              </w:rPr>
              <w:t>2 interfejsy sieciowe 1Gb Ethernet w standardzie BaseT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2 interfejsy sieciowe 25Gb Ethernet w standardzie SFP28 (porty nie mogą być osiągnięte poprzez karty w slotach PCIe)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2 interfejsy sieciowe 25Gb Ethernet w standardzie SFP28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 zestawie z serwerem muszą znajdować się 2 kable DAC 10GbE SFP+/SFP+ min. 3m, dostarczone przez producenta serwera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>W zestawie z serwerem wykonawca dostarczy 3 patchcordy RJ-45 cat 6 o długości minimum 3m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/>
                <w:bCs/>
                <w:color w:val="000000"/>
                <w:sz w:val="20"/>
                <w:szCs w:val="20"/>
              </w:rPr>
              <w:t>Wbudowane porty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Minimum 4 portów USB z czego min. 1 w technologii 3.0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1x VGA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Możliwość rozbudowy o port RS-232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/>
                <w:bCs/>
                <w:color w:val="000000"/>
                <w:sz w:val="20"/>
                <w:szCs w:val="20"/>
              </w:rPr>
              <w:t>Video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Zintegrowana karta graficzna, umożliwiająca wyświetlanie obrazu w rozdzielczości minimum 1920x1200 pikseli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/>
                <w:bCs/>
                <w:color w:val="000000"/>
                <w:sz w:val="20"/>
                <w:szCs w:val="20"/>
              </w:rPr>
              <w:t>Zasilanie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Redundantne zasilacze o mocy minimum 1100W klasy Titanium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/>
                <w:bCs/>
                <w:color w:val="000000"/>
                <w:sz w:val="20"/>
                <w:szCs w:val="20"/>
              </w:rPr>
              <w:t>System operacyjny/dodatkowe oprogramowanie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Fabrycznie zainstalowany Windows Server 2025 Standard z możliwością downgrade’u do wersji 2022.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Dołączony przez producenta serwera nośnik umożliwiający instalację wersji 2022 Standard oraz 2025 Standard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Nowa licencja pokrywająca wszystkie fizyczne rdzenie w serwerze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bCs/>
                <w:sz w:val="20"/>
                <w:szCs w:val="20"/>
              </w:rPr>
              <w:t>Diagnostyka i Bezpieczeństwo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Zintegrowany z płytą główną moduł TPM 2.0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Możliwość wyłączenia w BIOS funkcji przycisku zasilania.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BIOS ma możliwość przejścia do bezpiecznego trybu rozruchowego z możliwością zarządzania blokadą zasilania, panelem sterowania oraz zmianą hasła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zdalny dostęp do graficznego interfejsu Web karty zarządzającej;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szyfrowane połączenie (TLS) oraz autentykacje i autoryzację użytkownika;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podmontowania zdalnych wirtualnych napędów;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wirtualną konsolę z dostępem do myszy, klawiatury;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wsparcie dla IPv6;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  <w:lang w:val="en-US"/>
              </w:rPr>
            </w:pPr>
            <w:r>
              <w:rPr>
                <w:rFonts w:eastAsia="Calibri" w:cs="Calibri" w:cstheme="minorHAnsi"/>
                <w:sz w:val="20"/>
                <w:szCs w:val="20"/>
                <w:lang w:val="en-US"/>
              </w:rPr>
              <w:t>wsparcie dla WSMAN (Web Service for Management); SNMP; IPMI2.0, SSH, Redfish;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zdalnego ustawienia limitu poboru prądu przez konkretny serwer;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integracja z Active Directory;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obsługi przez dwóch administratorów jednocześnie;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wsparcie dla automatycznej rejestracji DNS;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bezpośredniego zarządzania poprzez dedykowany port USB na przednim panelu serwera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  <w:p>
            <w:pPr>
              <w:pStyle w:val="Normal"/>
              <w:spacing w:lineRule="auto" w:line="240" w:before="360" w:after="0"/>
              <w:ind w:left="72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oraz z możliwością rozszerzenia funkcjonalności o: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Wirtualny schowek ułatwiający korzystanie z konsoli zdalnej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Przesyłanie danych telemetrycznych w czasie rzeczywistym</w:t>
            </w:r>
          </w:p>
          <w:p>
            <w:pPr>
              <w:pStyle w:val="Normal"/>
              <w:numPr>
                <w:ilvl w:val="1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Dostosowanie zarządzania temperaturą i przepływem powietrza w serwerze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Automatyczna rejestracja certyfikatów (ACE)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bCs/>
                <w:sz w:val="20"/>
                <w:szCs w:val="20"/>
              </w:rPr>
              <w:t>Oprogramowanie do zarządzania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Wsparcie dla serwerów, urządzeń sieciowych oraz pamięci masowych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integracja z Active Directory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zarządzania dostarczonymi serwerami bez udziału dedykowanego agenta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Wsparcie dla protokołów SNMP, IPMI, Linux SSH, Redfish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uruchamiania procesu wykrywania urządzeń w oparciu o harmonogram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Szczegółowy opis wykrytych systemów oraz ich komponentów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eksportu raportu do CSV, HTML, XLS, PDF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tworzenia własnych raportów w oparciu o wszystkie informacje zawarte w inwentarzu.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Grupowanie urządzeń w oparciu o kryteria użytkownika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uruchamiania narzędzi zarządzających w poszczególnych urządzeniach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Szybki podgląd stanu środowiska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Podsumowanie stanu dla każdego urządzenia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Szczegółowy status urządzenia/elementu/komponentu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Generowanie alertów przy zmianie stanu urządzenia.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Filtry raportów umożliwiające podgląd najważniejszych zdarzeń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Integracja z service desk producenta dostarczonej platformy sprzętowej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przejęcia zdalnego pulpitu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podmontowania wirtualnego napędu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Kreator umożliwiający dostosowanie akcji dla wybranych alertów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importu plików MIB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Przesyłanie alertów „as-is” do innych konsol firm trzecich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definiowania ról administratorów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zdalnej aktualizacji oprogramowania wewnętrznego serwerów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instalacji oprogramowania wewnętrznego bez potrzeby instalacji agenta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Zdalne uruchamianie diagnostyki serwera.</w:t>
            </w:r>
          </w:p>
          <w:p>
            <w:pPr>
              <w:pStyle w:val="Normal"/>
              <w:numPr>
                <w:ilvl w:val="1"/>
                <w:numId w:val="5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Oprogramowanie dostarczane jako wirtualny appliance dla KVM, ESXi i Hyper-V.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>Serwer musi być wyprodukowany zgodnie z normą ISO-9001:2015, ISO-50001 oraz ISO-14001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>Serwer musi posiadać deklaracja CE.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</w:t>
            </w:r>
            <w:hyperlink r:id="rId2">
              <w:r>
                <w:rPr>
                  <w:rStyle w:val="Style7"/>
                  <w:rFonts w:eastAsia="Calibri" w:cs="Calibri" w:cstheme="minorHAnsi"/>
                  <w:color w:val="0000FF"/>
                  <w:sz w:val="20"/>
                  <w:szCs w:val="20"/>
                  <w:u w:val="single"/>
                </w:rPr>
                <w:t>www.epeat.net</w:t>
              </w:r>
            </w:hyperlink>
            <w:r>
              <w:rPr>
                <w:rFonts w:eastAsia="Calibri" w:cs="Calibri" w:cstheme="minorHAnsi"/>
                <w:color w:val="000000"/>
                <w:sz w:val="20"/>
                <w:szCs w:val="20"/>
              </w:rPr>
              <w:t xml:space="preserve"> potwierdzający spełnienie normy co najmniej Epeat Silver według normy wprowadzonej w 2019 roku - </w:t>
            </w:r>
            <w:r>
              <w:rPr>
                <w:rFonts w:eastAsia="Calibri" w:cs="Calibri" w:cstheme="minorHAnsi"/>
                <w:b/>
                <w:bCs/>
                <w:color w:val="000000"/>
                <w:sz w:val="20"/>
                <w:szCs w:val="20"/>
              </w:rPr>
              <w:t>Wykonawca złoży dokument potwierdzający spełnianie wymogu.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lang w:val="en-US"/>
              </w:rPr>
            </w:pPr>
            <w:r>
              <w:rPr>
                <w:rFonts w:eastAsia="Calibri" w:cs="Calibri" w:cstheme="minorHAnsi"/>
                <w:color w:val="000000"/>
                <w:sz w:val="20"/>
                <w:szCs w:val="20"/>
                <w:lang w:val="en-US"/>
              </w:rPr>
              <w:t>Oferowany serwer musi znajdować się na liście Windows Server Catalog i posiadać status „Certified for Windows” dla systemów, Microsoft Windows Server 2019, Microsoft Windows Server 2022, Microsoft Windows Server 2025.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lang w:val="en-US"/>
              </w:rPr>
            </w:pPr>
            <w:r>
              <w:rPr>
                <w:rFonts w:cs="Calibri" w:cstheme="minorHAnsi"/>
                <w:lang w:val="en-US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eastAsia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eastAsia="Calibri" w:cs="Calibri" w:cstheme="minorHAnsi"/>
                <w:sz w:val="20"/>
                <w:szCs w:val="20"/>
              </w:rPr>
              <w:t>Zamawiający wymaga dokumentacji w języku polskim lub angi</w:t>
            </w:r>
            <w:r>
              <w:rPr>
                <w:rFonts w:eastAsia="Calibri" w:cs="Calibri" w:cstheme="minorHAnsi"/>
                <w:i/>
                <w:sz w:val="20"/>
                <w:szCs w:val="20"/>
              </w:rPr>
              <w:t>e</w:t>
            </w:r>
            <w:r>
              <w:rPr>
                <w:rFonts w:eastAsia="Calibri" w:cs="Calibri" w:cstheme="minorHAnsi"/>
                <w:sz w:val="20"/>
                <w:szCs w:val="20"/>
              </w:rPr>
              <w:t>lskim.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Calibri" w:cs="Calibri" w:cstheme="minorHAnsi"/>
                <w:b/>
                <w:sz w:val="20"/>
                <w:szCs w:val="20"/>
              </w:rPr>
              <w:t>Warunki gwarancji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wymaga zapewnienia gwarancji Producenta z zakresu wdrażanej technologii na okres 7 lat.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oczekuje możliwości zgłaszania zdarzeń serwisowych w trybie 24/7/365 następującymi kanałami: telefonicznie i przez Internet.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wymaga pojedynczego punktu kontaktu dla całego rozwiązania Producenta, w tym także sprzedanego oprogramowania.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oczekuje możliwości samodzielnego kwalifikowania poziomu ważności naprawy.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Certyfikowany Technik Producenta z właściwym zestawem części do naprawy (potwierdzonym na etapie diagnostyki) powinien rozpocząć naprawę w siedzibie zamawiającego najpóźniej w następnym dniu roboczym (NBD) od zakończenia diagnostyki.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Naprawa ma się odbyć w siedzibie zamawiającego, chyba, że zamawiający dla danej naprawy zgodzi się na inną formę.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Możliwość rozszerzenia gwarancji producenta o usługę diagnostyki sprzętu na miejscu w przypadku awarii. Charakterystyka usługi diagnostyki:</w:t>
            </w:r>
          </w:p>
          <w:p>
            <w:pPr>
              <w:pStyle w:val="Normal"/>
              <w:numPr>
                <w:ilvl w:val="1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>
            <w:pPr>
              <w:pStyle w:val="Normal"/>
              <w:numPr>
                <w:ilvl w:val="1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>
            <w:pPr>
              <w:pStyle w:val="Normal"/>
              <w:numPr>
                <w:ilvl w:val="1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Reakcja na miejscu u Zamawiającego powinna nastąpić w okresie zgodnym z czasem reakcji przypisanym do urządzenia, które posiada wykupioną usługę serwisową.</w:t>
            </w:r>
          </w:p>
          <w:p>
            <w:pPr>
              <w:pStyle w:val="Normal"/>
              <w:numPr>
                <w:ilvl w:val="1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>
            <w:pPr>
              <w:pStyle w:val="Normal"/>
              <w:numPr>
                <w:ilvl w:val="1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240" w:before="0" w:after="16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Wymagane dołączenie do oferty oświadczenia Producenta potwierdzające, że Serwis urządzeń będzie realizowany bezpośrednio przez Producenta i/lub we współpracy z Autoryzowanym Partnerem Serwisowym Producenta.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786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Calibri" w:cs="Calibri" w:cstheme="minorHAnsi"/>
                <w:b/>
                <w:bCs/>
              </w:rPr>
            </w:pPr>
            <w:r>
              <w:rPr>
                <w:rFonts w:eastAsia="Calibri" w:cs="Calibri" w:cstheme="minorHAnsi"/>
                <w:b/>
                <w:bCs/>
              </w:rPr>
              <w:t>1.2.</w:t>
            </w:r>
          </w:p>
        </w:tc>
        <w:tc>
          <w:tcPr>
            <w:tcW w:w="75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eastAsia="Calibri" w:cs="Calibri" w:cstheme="minorHAnsi"/>
                <w:b/>
                <w:bCs/>
              </w:rPr>
            </w:pPr>
            <w:r>
              <w:rPr>
                <w:rFonts w:eastAsia="Calibri" w:cs="Calibri" w:cstheme="minorHAnsi"/>
                <w:b/>
                <w:bCs/>
              </w:rPr>
              <w:t>Macierz 1 szt.</w:t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Typ obudowy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sz w:val="20"/>
                <w:szCs w:val="20"/>
              </w:rPr>
              <w:t xml:space="preserve">Macierz musi być przystosowana do montażu w szafie rack 19”, </w:t>
              <w:br/>
              <w:t>o wysokość maksymalnie 2U z możliwością instalacji min. 12 dysków 3.5”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Przestrzeń dyskowa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Zainstalowane: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3x dyski SSD SAS o pojemności min. 1.92TB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4x dyski HDD SAS 12Gbps o pojemności min. 8TB, 7,2 tys. obr./min., Hot-Plug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Możliwość rozbudowy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Macierz musi umożliwiać rozbudowę (bez wymiany kontrolerów macierzy), do co najmniej 264 dysków twardych.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Obsługa dysków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Macierz musi mieć możliwość obsługiwania dysków SSD, SAS i Nearline SAS. Macierz musi umożliwiać mieszanie napędów dyskowych SSD, SAS i NL SAS w obrębie pojedynczej półki dyskowej.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Sposób zabezpieczenia danych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obsługiwać mechanizmy RAID zgodne z RAID0, RAID1, RAID10, RAID5, RAID6 oraz RAID z tzw. rozproszoną wolną pojemnością, realizowane sprzętowo za pomocą dedykowanego układu, z możliwością dowolnej ich kombinacji w obrębie oferowanej macierzy i z wykorzystaniem wszystkich dysków (tzw. wide-striping).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definiowanie globalnych dysków spare</w:t>
            </w:r>
            <w:r>
              <w:rPr>
                <w:rFonts w:cs="Calibri" w:cstheme="minorHAnsi"/>
                <w:bCs/>
                <w:sz w:val="20"/>
                <w:szCs w:val="20"/>
              </w:rPr>
              <w:t xml:space="preserve"> oraz dedykowanie dysków spare do konkretnych grup RAID</w:t>
            </w:r>
            <w:r>
              <w:rPr>
                <w:rFonts w:cs="Calibri" w:cstheme="minorHAnsi"/>
                <w:sz w:val="20"/>
                <w:szCs w:val="20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również oferować możliwość zdefiniowania grup dyskowych z tzw. rozproszoną wolną pojemnością, która nie wykorzystuje tradycyjnych dysków zapasowych (integracja dysków zapasowych i nieaktywnych do zwiększenia dostępności i wydajności macierzy, zwiększenie szybkości odbudowy macierzy na wypadek awarii dysku).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Macierz musi umożliwiać obsługę dysków różnej pojemności w ramach grupy dysków.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Tryb pracy kontrolerów macierzowych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Macierz musi posiadać minimum 2 kontrolery macierzowe pracujące w trybie active-active i udostępniające jednocześnie dane blokowe. Wszystkie kontrolery muszą komunikować się między sobą bez stosowania dodatkowych przełączników lub koncentratorów.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Pamięć cache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posiadać minimum sumarycznie 32 GB pamięci cache. Pamięć cache musi być zbudowana w oparciu o wydajną pamięć typu RAM.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Pamięć zapisu musi być mirrorowana (kopie lustrzane) pomiędzy kontrolerami dyskowymi.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Dane niezapisane na dyskach (np. zawartość pamięci kontrolera) muszą zostać zabezpieczone w przypadku awarii zasilania za pomocą podtrzymania bateryjnego lub z zastosowaniem innej technologii przez okres minimum 5 lat.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  <w:highlight w:val="yellow"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Rozbudowa pamięci cache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zwiększenie pojemności pamięci cache dla odczytów do minimum 8 TB z wykorzystaniem dysków SSD lub kart pamięci flash.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Jeżeli do obsługi powyższej funkcjonalności wymagane są dodatkowe licencje, należy je dostarczyć wraz z rozwiązaniem.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Interfejsy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 xml:space="preserve">Macierz musi posiadać, co najmniej 8 portów 25Gb iSCSI w standardzie SFP28 </w:t>
              <w:br/>
              <w:t>(4 porty na kontroler).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W zestawie muszą znajdować się 4 kable DAC 25GbE SFP28/SFP28 min. 3m, dostarczone przez producenta macierzy oraz 2 kable DAC 10GbE SFP+/SFP+ min. 3m , dostarczone przez producenta macierzy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Zarządzanie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Zarządzanie macierzą musi być możliwe z poziomu interfejsu graficznego i interfejsu znakowego. Zarządzanie macierzą musi odbywać się bezpośrednio na kontrolerach macierzy z poziomu przeglądarki internetowej.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Zarządzanie grupami dyskowymi oraz dyskami logicznymi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zdefiniowanie, co najmniej 500 wolumenów logicznych w ramach oferowanej macierzy dyskowej.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Musi istnieć możliwość rozłożenia pojedynczego wolumenu logicznego na wszystkie dyski fizyczne macierzy (tzw. wide-striping), bez konieczności łączenia wielu różnych dysków logicznych w jeden większy.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Thin Provisioning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udostępnianie zasobów dyskowych do serwerów w trybie tradycyjnym, jak i w trybie typu Thin Provisioning.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odzyskiwanie przestrzeni dyskowych po usuniętych danych w ramach wolumenów typu Thin. Proces odzyskiwania danych musi być automatyczny bez konieczności uruchamiania dodatkowych procesów na kontrolerach macierzowych (wymagana obsługa standardu T10 SCSI UNMAP).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Tiering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posiadać funkcjonalność Tiering między dyskami SSD i SAS i między dyskami SAS i NL SAS.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Tiering musi obejmować wszystkie woluminy w danej puli dyskowej.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>Dyski SSD mogą być wykorzystane zarówno do uzyskania pojemności w warstwie wydajności lub na potrzeby zwiększenia pamięci podręcznej odczytu w celu przyspieszenia operacji losowego odczytu z jednej lub wielu warstw napędów mechanicznych.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Wewnętrzne kopie migawkowe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bCs/>
                <w:sz w:val="20"/>
                <w:szCs w:val="20"/>
              </w:rPr>
            </w:pPr>
            <w:r>
              <w:rPr>
                <w:rFonts w:cs="Calibri" w:cstheme="minorHAnsi"/>
                <w:bCs/>
                <w:sz w:val="20"/>
                <w:szCs w:val="20"/>
              </w:rPr>
              <w:t>Macierz musi umożliwiać dokonywania na żądanie tzw. migawkowej kopii danych (snapshot, point-in-time) w ramach macierzy za pomocą wewnętrznych kontrolerów macierzowych. Kopia migawkowa wykonuje się bez alokowania dodatkowej przestrzeni dyskowej na potrzeby kopii. Zajmowanie dodatkowej przestrzeni dyskowej następuje w momencie zmiany danych na dysku źródłowym lub na jego kopii.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bCs/>
                <w:sz w:val="20"/>
                <w:szCs w:val="20"/>
              </w:rPr>
              <w:t>Macierz musi wspierać minimum 512 kopii migawkowych. Jeżeli do obsługi powyższych funkcjonalności wymagane są dodatkowe licencje, należy je dostarczyć dla całej pojemności urządzenia.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Wewnętrzne kopie pełne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dokonywanie na żądanie pełnej fizycznej kopii danych (clone) w ramach macierzy za pomocą wewnętrznych kontrolerów macierzowych.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Migracja danych w obrębie macierzy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 w:cstheme="minorHAnsi"/>
                <w:sz w:val="20"/>
                <w:szCs w:val="20"/>
              </w:rPr>
              <w:t xml:space="preserve">Macierz dyskowa musi umożliwiać migrację danych bez przerywania do nich dostępu pomiędzy różnymi warstwami technologii dyskowych na poziomie części wolumenów logicznych (ang. Sub-LUN). Zmiany te muszą się odbywać wewnętrznymi mechanizmami macierzy. Funkcjonalność musi umożliwiać zdefiniowanie zasobu LUN, który fizycznie będzie znajdował się na min. 3 typach dysków obsługiwanych przez macierz, a jego części będą realokowane na podstawie analizy ruchu w sposób automatyczny i transparentny (bez przerywania dostępu do danych) dla korzystających z tego wolumenu hostów. Zmiany te muszą się odbywać wewnętrznymi mechanizmami macierzy. </w:t>
            </w:r>
            <w:r>
              <w:rPr>
                <w:rFonts w:cs="Calibri"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dostarczanego urządzenia.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Zdalna replikacja danych</w:t>
            </w:r>
          </w:p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asynchroniczną replikację danych do innej macierzy z tej samej rodziny. Replikacja musi być wykonywana na poziomie kontrolerów, bez użycia dodatkowych serwerów lub innych urządzeń i bez obciążania serwerów podłączonych do macierzy.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bCs/>
                <w:sz w:val="20"/>
                <w:szCs w:val="20"/>
              </w:rPr>
              <w:t>Jeżeli do obsługi powyższej funkcjonalności wymagane są dodatkowe licencje, należy je dostarczyć wraz z urządzeniem.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Podłączanie zewnętrznych systemów operacyjnych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jednoczesne podłączenie wielu serwerów w trybie wysokiej dostępności (co najmniej dwoma ścieżkami).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wspierać podłączenie następujących systemów operacyjnych: Windows, RHEL, SLES, Vmware, Citrix.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Dla wymienionych systemów operacyjnych należy dostarczyć oprogramowanie do przełączania ścieżek i równoważenia obciążenia poszczególnych ścieżek. Wymagane jest oprogramowanie dla nielimitowanej liczby serwerów. Dopuszcza się rozwiązania bazujące na natywnych możliwościach systemów operacyjnych.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bCs/>
                <w:sz w:val="20"/>
                <w:szCs w:val="20"/>
              </w:rPr>
              <w:t xml:space="preserve">Jeżeli do obsługi powyższych funkcjonalności wymagane są dodatkowe licencje, należy je dostarczyć dla </w:t>
            </w:r>
            <w:r>
              <w:rPr>
                <w:rFonts w:cs="Calibri" w:cstheme="minorHAnsi"/>
                <w:sz w:val="20"/>
                <w:szCs w:val="20"/>
              </w:rPr>
              <w:t>maksymalnej liczby serwerów obsługiwanych przez oferowane urządzenie.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Redundancja</w:t>
            </w:r>
          </w:p>
          <w:p>
            <w:pPr>
              <w:pStyle w:val="Normal"/>
              <w:spacing w:lineRule="auto" w:line="259" w:before="360" w:after="0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nie może posiadać pojedynczego punktu awarii, który powodowałby brak dostępu do danych. Musi być zapewniona pełna redundancja komponentów, w szczególności zdublowanie kontrolerów, zasilaczy i wentylatorów.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musi umożliwiać wymianę elementów systemu w trybie „hot-swap”, a w szczególności takich, jak: dyski, kontrolery, zasilacze, wentylatory.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bCs/>
                <w:sz w:val="20"/>
                <w:szCs w:val="20"/>
              </w:rPr>
              <w:t>Macierz musi mieć możliwość zasilania z dwu niezależnych źródeł zasilania – odporność na zanik zasilania jednej fazy lub awarię jednego z zasilaczy macierzy.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Zasilacze użyte w macierzy powinny spełniać wymagania dotyczące sprawności dla zasilacza minimum 80+ Gold.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Dodatkowe wymagania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Oferowany system dyskowy musi się składać z pojedynczej macierzy dyskowej. Niedopuszczalna jest realizacja zamówienia poprzez dostarczenie wielu macierzy dyskowych. Za pojedynczą macierz nie uznaje się rozwiązania opartego o wiele macierzy dyskowych (par kontrolerów macierzowych) połączonych przełącznikami SAN lub tzw. wirtualizatorem sieci SAN czy wirtualizatorem macierzy dyskowych.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Możliwość ograniczania poboru zasilania przez dyski, które nie obsługują operacji we/wy, poprzez ich zatrzymanie.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cs="Calibri" w:cstheme="minorHAnsi"/>
                <w:b/>
                <w:bCs/>
                <w:sz w:val="20"/>
                <w:szCs w:val="20"/>
              </w:rPr>
              <w:t>Standardy bezpieczeństwa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Urządzenie musi spełniać następujące standardy bezpieczeństwa: EN 62368-1 (European Union), IEC 60950-1 (International)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cs="Calibri" w:asciiTheme="minorHAnsi" w:cstheme="minorHAnsi" w:hAnsiTheme="minorHAnsi"/>
                <w:b/>
                <w:bCs/>
                <w:sz w:val="20"/>
                <w:szCs w:val="20"/>
              </w:rPr>
            </w:pPr>
            <w:r>
              <w:rPr>
                <w:rFonts w:eastAsia="MS Mincho" w:cs="Calibri" w:cstheme="minorHAnsi"/>
                <w:b/>
                <w:bCs/>
                <w:sz w:val="20"/>
                <w:szCs w:val="20"/>
                <w:lang w:eastAsia="ja-JP"/>
              </w:rPr>
              <w:t>Inne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Urządzenie musi być zakupione w oficjalnym kanale dystrybucyjnym producenta.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Na żądanie Zamawiającego, Wykonawca musi przedstawić oświadczenie producenta oferowanej macierzy, potwierdzające pochodzenie urządzenia z oficjalnego kanału dystrybucyjnego producenta.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Wymagane są dokumenty poświadczające, że sprzęt jest produkowany zgodnie z normami ISO 9001 oraz ISO 14001. Deklaracja zgodności CE.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Macierz nie może znajdować się na liście „end-of-sale”,  „end-of-life” producenta.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eastAsia="MS Mincho" w:cs="Calibri" w:asciiTheme="minorHAnsi" w:cstheme="minorHAnsi" w:hAnsiTheme="minorHAnsi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eastAsia="MS Mincho" w:cs="Calibri" w:cstheme="minorHAnsi"/>
                <w:b/>
                <w:bCs/>
                <w:sz w:val="20"/>
                <w:szCs w:val="20"/>
                <w:lang w:eastAsia="ja-JP"/>
              </w:rPr>
              <w:t>Warunki gwarancji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wymaga zapewnienia gwarancji Producenta z zakresu wdrażanej technologii na okres 7 lat.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oczekuje możliwości zgłaszania zdarzeń serwisowych w trybie 24/7/365 następującymi kanałami: telefonicznie i przez Internet.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wymaga pojedynczego punktu kontaktu dla całego rozwiązania Producenta, w tym także sprzedanego oprogramowania.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oczekuje możliwości samodzielnego kwalifikowania poziomu ważności naprawy.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Certyfikowany Technik Producenta z właściwym zestawem części do naprawy (potwierdzonym na etapie diagnostyki) powinien rozpocząć naprawę w siedzibie zamawiającego najpóźniej w następnym dniu roboczym (NBD) od zakończenia diagnostyki.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Naprawa ma się odbyć w siedzibie zamawiającego, chyba, że zamawiający dla danej naprawy zgodzi się na inną formę.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Wymagane dołączenie do oferty oświadczenia Producenta potwierdzające, że Serwis urządzeń będzie realizowany bezpośrednio przez Producenta i/lub we współpracy z Autoryzowanym Partnerem Serwisowym Producenta.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eastAsia="MS Mincho" w:cs="Calibri" w:asciiTheme="minorHAnsi" w:cstheme="minorHAnsi" w:hAnsiTheme="minorHAnsi"/>
                <w:sz w:val="20"/>
                <w:szCs w:val="20"/>
                <w:lang w:eastAsia="ja-JP"/>
              </w:rPr>
            </w:pPr>
            <w:r>
              <w:rPr>
                <w:rFonts w:eastAsia="MS Mincho" w:cs="Calibri" w:cstheme="minorHAnsi"/>
                <w:sz w:val="20"/>
                <w:szCs w:val="20"/>
                <w:lang w:eastAsia="ja-JP"/>
              </w:rPr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787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59" w:before="0" w:after="0"/>
              <w:rPr>
                <w:rFonts w:ascii="Calibri" w:hAnsi="Calibri" w:eastAsia="MS Mincho" w:cs="Calibri" w:asciiTheme="minorHAnsi" w:cstheme="minorHAnsi" w:hAnsiTheme="minorHAnsi"/>
                <w:sz w:val="20"/>
                <w:szCs w:val="20"/>
                <w:lang w:eastAsia="ja-JP"/>
              </w:rPr>
            </w:pPr>
            <w:r>
              <w:rPr>
                <w:rFonts w:eastAsia="Calibri" w:cs="Calibri" w:cstheme="minorHAnsi"/>
                <w:b/>
                <w:bCs/>
              </w:rPr>
              <w:t>1.3.</w:t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b/>
                <w:bCs/>
              </w:rPr>
              <w:t>Montaż, konfiguracja, uruchomienie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eastAsia="MS Mincho" w:cs="Calibri" w:asciiTheme="minorHAnsi" w:cstheme="minorHAnsi" w:hAnsiTheme="minorHAnsi"/>
                <w:sz w:val="20"/>
                <w:szCs w:val="20"/>
                <w:lang w:eastAsia="ja-JP"/>
              </w:rPr>
            </w:pPr>
            <w:r>
              <w:rPr>
                <w:rFonts w:eastAsia="MS Mincho" w:cs="Calibri" w:cstheme="minorHAnsi"/>
                <w:sz w:val="20"/>
                <w:szCs w:val="20"/>
                <w:lang w:eastAsia="ja-JP"/>
              </w:rPr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Usługa wdrożenia musi obejmować montaż dostarczonych kart sieciowych w posiadanym przez zamawiającego serwerze Dell T550,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 xml:space="preserve">Usługa wdrożenia musi obejmować montaż i uruchomienie oferowanego sprzętu w siedzibie zamawiającego, </w:t>
              <w:br/>
              <w:t>a także odpowiednie redundantne połączenie dwóch serwerów (obecnego i dostarczonego) z macierzą,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Na oferowanych urządzeniach musi zostać przeprowadzona aktualizacja firmware’u.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Urządzenia zostaną skonfigurowane zgodnie z najlepszymi praktykami (w tym zasób dyskowy na macierzy dla podłączonych serwerów), a na serwerze zainstalowane zostanie oprogramowanie do wirtualizacji (Windows Server Hyper-V 2022),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Przy wykorzystaniu zaoferowanych licencji Microsoft musi zostać utworzona jedna nowa maszyna wirtualna</w:t>
              <w:br/>
              <w:t>z systemem Windows Server 2022 Standard,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Wykonawca dokona migracji, wirtualizacji i uruchomienia systemu Windows Server 2022 obecnie posiadanego przez zamawiającego na serwerze Dell T550 na dostarczony nowy serwer i macierz (Hyper-V).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Po przeniesieniu systemu na posiadanym przez zamawiającego serwerze Dell T550 wykonawca zainstaluje oprogramowanie do wirtualizacji (Hyper-V 2022), a następnie uruchomi klaster na dwóch serwerach i macierzy,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 xml:space="preserve">Wszystkie wymienione prace wdrożeniowe będą prowadzone w terminie uzgodnionym z informatykiem </w:t>
            </w:r>
            <w:r>
              <w:rPr>
                <w:rFonts w:cs="Calibri" w:cstheme="minorHAnsi"/>
                <w:b/>
                <w:bCs/>
                <w:sz w:val="20"/>
                <w:szCs w:val="20"/>
              </w:rPr>
              <w:t>poza godzinami pracy urzędu oraz w weekendy</w:t>
            </w:r>
            <w:r>
              <w:rPr>
                <w:rFonts w:cs="Calibri" w:cstheme="minorHAnsi"/>
                <w:sz w:val="20"/>
                <w:szCs w:val="20"/>
              </w:rPr>
              <w:t>.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Podczas wdrożenia zostanie przeprowadzone szkolenie z wdrażanych systemów obejmujące przynajmniej omówienie konfiguracji i funkcji Hyper-V, konsoli administracyjnej oraz najlepszych praktyk.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 xml:space="preserve">Wykonawca musi zaoferować usługę wsparcia technicznego minimum </w:t>
            </w:r>
            <w:r>
              <w:rPr>
                <w:rFonts w:cs="Calibri" w:cstheme="minorHAnsi"/>
                <w:b/>
                <w:bCs/>
                <w:sz w:val="20"/>
                <w:szCs w:val="20"/>
              </w:rPr>
              <w:t>10h</w:t>
            </w:r>
            <w:r>
              <w:rPr>
                <w:rFonts w:cs="Calibri" w:cstheme="minorHAnsi"/>
                <w:sz w:val="20"/>
                <w:szCs w:val="20"/>
              </w:rPr>
              <w:t xml:space="preserve"> pomocy technicznej do wykorzystania do 30.06.2026, świadczonej zdalnie, dla wdrożonych rozwiązań.</w:t>
            </w:r>
          </w:p>
          <w:p>
            <w:pPr>
              <w:pStyle w:val="ListParagraph"/>
              <w:numPr>
                <w:ilvl w:val="0"/>
                <w:numId w:val="9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Pomoc będzie świadczona w terminie uzgodnionym z informatykiem w dni robocze, w godzinach 8:00 – 16:00.</w:t>
            </w:r>
          </w:p>
          <w:p>
            <w:pPr>
              <w:pStyle w:val="Normal"/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eastAsia="MS Mincho" w:cs="Calibri" w:asciiTheme="minorHAnsi" w:cstheme="minorHAnsi" w:hAnsiTheme="minorHAnsi"/>
                <w:sz w:val="20"/>
                <w:szCs w:val="20"/>
                <w:lang w:eastAsia="ja-JP"/>
              </w:rPr>
            </w:pPr>
            <w:r>
              <w:rPr>
                <w:rFonts w:eastAsia="MS Mincho" w:cs="Calibri" w:cstheme="minorHAnsi"/>
                <w:sz w:val="20"/>
                <w:szCs w:val="20"/>
                <w:lang w:eastAsia="ja-JP"/>
              </w:rPr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0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Należy dostarczyć nową kartę sieciową dwuportową 25Gb SFP28, zatwierdzoną do pracy w serwerze Dell T550 przez producenta tego serwera.</w:t>
              <w:br/>
              <w:t>Karta sieciowa musi pochodzić z autoryzowanej dystrybucji producenta serwerów i posiadać minimum 12 miesięcy gwarancji door-to-door producenta, a w przypadku gdy serwery posiadają aktywne wsparcie gwarancyjne przejąć długość i typ gwarancji serwerów w których zostaną umieszczone.</w:t>
            </w:r>
          </w:p>
          <w:p>
            <w:pPr>
              <w:pStyle w:val="Normal"/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  <w:tr>
        <w:trPr>
          <w:trHeight w:val="300" w:hRule="atLeast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59" w:before="360" w:after="0"/>
              <w:rPr>
                <w:rFonts w:ascii="Calibri" w:hAnsi="Calibri" w:eastAsia="MS Mincho" w:cs="Calibri" w:asciiTheme="minorHAnsi" w:cstheme="minorHAnsi" w:hAnsiTheme="minorHAnsi"/>
                <w:sz w:val="20"/>
                <w:szCs w:val="20"/>
                <w:lang w:eastAsia="ja-JP"/>
              </w:rPr>
            </w:pPr>
            <w:r>
              <w:rPr>
                <w:rFonts w:eastAsia="MS Mincho" w:cs="Calibri" w:cstheme="minorHAnsi"/>
                <w:sz w:val="20"/>
                <w:szCs w:val="20"/>
                <w:lang w:eastAsia="ja-JP"/>
              </w:rPr>
            </w:r>
          </w:p>
        </w:tc>
        <w:tc>
          <w:tcPr>
            <w:tcW w:w="5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0"/>
              </w:numPr>
              <w:suppressAutoHyphens w:val="false"/>
              <w:spacing w:lineRule="auto" w:line="240" w:before="0" w:after="0"/>
              <w:contextualSpacing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Należy również dostarczyć nową kartę sieciową dwuportową 10Gb SFP+, zatwierdzoną do pracy w serwerze Dell T550 przez producenta tego serwera.</w:t>
              <w:br/>
              <w:t>Karta sieciowa musi pochodzić z autoryzowanej dystrybucji producenta serwerów i posiadać minimum 12 miesięcy gwarancji door-to-door producenta, a w przypadku gdy serwery posiadają aktywne wsparcie gwarancyjne przejąć długość i typ gwarancji serwerów w których zostaną umieszczone.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spacing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/>
              </w:rPr>
            </w:r>
          </w:p>
        </w:tc>
      </w:tr>
    </w:tbl>
    <w:p>
      <w:pPr>
        <w:pStyle w:val="Normal"/>
        <w:spacing w:before="360" w:after="360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8" w:right="1418" w:gutter="0" w:header="0" w:top="709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360" w:after="360"/>
      <w:rPr/>
    </w:pPr>
    <w:r>
      <w:rPr/>
      <mc:AlternateContent>
        <mc:Choice Requires="wps">
          <w:drawing>
            <wp:anchor distT="0" distB="0" distL="0" distR="0" simplePos="0" relativeHeight="2" behindDoc="1" locked="0" layoutInCell="0" allowOverlap="1" wp14:anchorId="36A5CB0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360" w:after="36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0pt;margin-top:0.05pt;width:1.1pt;height:1.1pt;mso-wrap-style:square;v-text-anchor:top;mso-position-horizontal:center;mso-position-horizontal-relative:margin" wp14:anchorId="36A5CB0B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360" w:after="36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right" w:pos="9720" w:leader="none"/>
      </w:tabs>
      <w:spacing w:before="360" w:after="360"/>
      <w:jc w:val="right"/>
      <w:rPr>
        <w:rFonts w:cs="Calibri"/>
        <w:color w:themeColor="text1" w:val="000000"/>
        <w:sz w:val="40"/>
        <w:szCs w:val="10"/>
      </w:rPr>
    </w:pPr>
    <w:r>
      <w:rPr>
        <w:rFonts w:cs="Calibri"/>
        <w:color w:themeColor="text1" w:val="000000"/>
        <w:sz w:val="22"/>
        <w:szCs w:val="10"/>
      </w:rPr>
      <w:t xml:space="preserve">Strona </w:t>
    </w:r>
    <w:r>
      <w:rPr>
        <w:rFonts w:cs="Calibri"/>
        <w:b/>
        <w:bCs/>
        <w:color w:themeColor="text1" w:val="000000"/>
        <w:sz w:val="22"/>
        <w:szCs w:val="10"/>
      </w:rPr>
      <w:fldChar w:fldCharType="begin"/>
    </w:r>
    <w:r>
      <w:rPr>
        <w:rFonts w:cs="Calibri"/>
        <w:b/>
        <w:bCs/>
        <w:color w:themeColor="text1" w:val="000000"/>
        <w:sz w:val="22"/>
        <w:szCs w:val="10"/>
      </w:rPr>
      <w:instrText xml:space="preserve"> PAGE </w:instrText>
    </w:r>
    <w:r>
      <w:rPr>
        <w:rFonts w:cs="Calibri"/>
        <w:b/>
        <w:bCs/>
        <w:color w:themeColor="text1" w:val="000000"/>
        <w:sz w:val="22"/>
        <w:szCs w:val="10"/>
      </w:rPr>
      <w:fldChar w:fldCharType="separate"/>
    </w:r>
    <w:r>
      <w:rPr>
        <w:rFonts w:cs="Calibri"/>
        <w:b/>
        <w:bCs/>
        <w:color w:themeColor="text1" w:val="000000"/>
        <w:sz w:val="22"/>
        <w:szCs w:val="10"/>
      </w:rPr>
      <w:t>11</w:t>
    </w:r>
    <w:r>
      <w:rPr>
        <w:rFonts w:cs="Calibri"/>
        <w:b/>
        <w:bCs/>
        <w:color w:themeColor="text1" w:val="000000"/>
        <w:sz w:val="22"/>
        <w:szCs w:val="10"/>
      </w:rPr>
      <w:fldChar w:fldCharType="end"/>
    </w:r>
    <w:r>
      <w:rPr>
        <w:rFonts w:cs="Calibri"/>
        <w:color w:themeColor="text1" w:val="000000"/>
        <w:sz w:val="22"/>
        <w:szCs w:val="10"/>
      </w:rPr>
      <w:t xml:space="preserve"> z </w:t>
    </w:r>
    <w:r>
      <w:rPr>
        <w:rFonts w:cs="Calibri"/>
        <w:b/>
        <w:bCs/>
        <w:color w:themeColor="text1" w:val="000000"/>
        <w:sz w:val="22"/>
        <w:szCs w:val="10"/>
      </w:rPr>
      <w:fldChar w:fldCharType="begin"/>
    </w:r>
    <w:r>
      <w:rPr>
        <w:rFonts w:cs="Calibri"/>
        <w:b/>
        <w:bCs/>
        <w:color w:themeColor="text1" w:val="000000"/>
        <w:sz w:val="22"/>
        <w:szCs w:val="10"/>
      </w:rPr>
      <w:instrText xml:space="preserve"> NUMPAGES </w:instrText>
    </w:r>
    <w:r>
      <w:rPr>
        <w:rFonts w:cs="Calibri"/>
        <w:b/>
        <w:bCs/>
        <w:color w:themeColor="text1" w:val="000000"/>
        <w:sz w:val="22"/>
        <w:szCs w:val="10"/>
      </w:rPr>
      <w:fldChar w:fldCharType="separate"/>
    </w:r>
    <w:r>
      <w:rPr>
        <w:rFonts w:cs="Calibri"/>
        <w:b/>
        <w:bCs/>
        <w:color w:themeColor="text1" w:val="000000"/>
        <w:sz w:val="22"/>
        <w:szCs w:val="10"/>
      </w:rPr>
      <w:t>11</w:t>
    </w:r>
    <w:r>
      <w:rPr>
        <w:rFonts w:cs="Calibri"/>
        <w:b/>
        <w:bCs/>
        <w:color w:themeColor="text1" w:val="000000"/>
        <w:sz w:val="22"/>
        <w:szCs w:val="1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right" w:pos="9720" w:leader="none"/>
      </w:tabs>
      <w:spacing w:before="360" w:after="360"/>
      <w:jc w:val="right"/>
      <w:rPr>
        <w:rFonts w:cs="Calibri"/>
        <w:color w:themeColor="text1" w:val="000000"/>
        <w:sz w:val="40"/>
        <w:szCs w:val="10"/>
      </w:rPr>
    </w:pPr>
    <w:r>
      <w:rPr>
        <w:rFonts w:cs="Calibri"/>
        <w:color w:themeColor="text1" w:val="000000"/>
        <w:sz w:val="22"/>
        <w:szCs w:val="10"/>
      </w:rPr>
      <w:t xml:space="preserve">Strona </w:t>
    </w:r>
    <w:r>
      <w:rPr>
        <w:rFonts w:cs="Calibri"/>
        <w:b/>
        <w:bCs/>
        <w:color w:themeColor="text1" w:val="000000"/>
        <w:sz w:val="22"/>
        <w:szCs w:val="10"/>
      </w:rPr>
      <w:fldChar w:fldCharType="begin"/>
    </w:r>
    <w:r>
      <w:rPr>
        <w:rFonts w:cs="Calibri"/>
        <w:b/>
        <w:bCs/>
        <w:color w:themeColor="text1" w:val="000000"/>
        <w:sz w:val="22"/>
        <w:szCs w:val="10"/>
      </w:rPr>
      <w:instrText xml:space="preserve"> PAGE </w:instrText>
    </w:r>
    <w:r>
      <w:rPr>
        <w:rFonts w:cs="Calibri"/>
        <w:b/>
        <w:bCs/>
        <w:color w:themeColor="text1" w:val="000000"/>
        <w:sz w:val="22"/>
        <w:szCs w:val="10"/>
      </w:rPr>
      <w:fldChar w:fldCharType="separate"/>
    </w:r>
    <w:r>
      <w:rPr>
        <w:rFonts w:cs="Calibri"/>
        <w:b/>
        <w:bCs/>
        <w:color w:themeColor="text1" w:val="000000"/>
        <w:sz w:val="22"/>
        <w:szCs w:val="10"/>
      </w:rPr>
      <w:t>11</w:t>
    </w:r>
    <w:r>
      <w:rPr>
        <w:rFonts w:cs="Calibri"/>
        <w:b/>
        <w:bCs/>
        <w:color w:themeColor="text1" w:val="000000"/>
        <w:sz w:val="22"/>
        <w:szCs w:val="10"/>
      </w:rPr>
      <w:fldChar w:fldCharType="end"/>
    </w:r>
    <w:r>
      <w:rPr>
        <w:rFonts w:cs="Calibri"/>
        <w:color w:themeColor="text1" w:val="000000"/>
        <w:sz w:val="22"/>
        <w:szCs w:val="10"/>
      </w:rPr>
      <w:t xml:space="preserve"> z </w:t>
    </w:r>
    <w:r>
      <w:rPr>
        <w:rFonts w:cs="Calibri"/>
        <w:b/>
        <w:bCs/>
        <w:color w:themeColor="text1" w:val="000000"/>
        <w:sz w:val="22"/>
        <w:szCs w:val="10"/>
      </w:rPr>
      <w:fldChar w:fldCharType="begin"/>
    </w:r>
    <w:r>
      <w:rPr>
        <w:rFonts w:cs="Calibri"/>
        <w:b/>
        <w:bCs/>
        <w:color w:themeColor="text1" w:val="000000"/>
        <w:sz w:val="22"/>
        <w:szCs w:val="10"/>
      </w:rPr>
      <w:instrText xml:space="preserve"> NUMPAGES </w:instrText>
    </w:r>
    <w:r>
      <w:rPr>
        <w:rFonts w:cs="Calibri"/>
        <w:b/>
        <w:bCs/>
        <w:color w:themeColor="text1" w:val="000000"/>
        <w:sz w:val="22"/>
        <w:szCs w:val="10"/>
      </w:rPr>
      <w:fldChar w:fldCharType="separate"/>
    </w:r>
    <w:r>
      <w:rPr>
        <w:rFonts w:cs="Calibri"/>
        <w:b/>
        <w:bCs/>
        <w:color w:themeColor="text1" w:val="000000"/>
        <w:sz w:val="22"/>
        <w:szCs w:val="10"/>
      </w:rPr>
      <w:t>11</w:t>
    </w:r>
    <w:r>
      <w:rPr>
        <w:rFonts w:cs="Calibri"/>
        <w:b/>
        <w:bCs/>
        <w:color w:themeColor="text1" w:val="000000"/>
        <w:sz w:val="22"/>
        <w:szCs w:val="1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360" w:after="3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1306005832"/>
      <w:docPartObj>
        <w:docPartGallery w:val="Page Numbers (Top of Page)"/>
        <w:docPartUnique w:val="true"/>
      </w:docPartObj>
    </w:sdtPr>
    <w:sdtContent>
      <w:p>
        <w:pPr>
          <w:pStyle w:val="Header"/>
          <w:spacing w:before="360" w:after="360"/>
          <w:jc w:val="right"/>
          <w:rPr/>
        </w:pPr>
        <w:r>
          <w:rPr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1306005832"/>
      <w:docPartObj>
        <w:docPartGallery w:val="Page Numbers (Top of Page)"/>
        <w:docPartUnique w:val="true"/>
      </w:docPartObj>
    </w:sdtPr>
    <w:sdtContent>
      <w:p>
        <w:pPr>
          <w:pStyle w:val="Header"/>
          <w:spacing w:before="360" w:after="360"/>
          <w:jc w:val="right"/>
          <w:rPr/>
        </w:pPr>
        <w:r>
          <w:rPr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20"/>
  <w:documentProtection w:edit="forms" w:enforcement="0" w:formatting="1" w:cryptProviderType="rsaAES" w:cryptAlgorithmClass="hash" w:cryptAlgorithmType="typeAny" w:cryptSpinCount="0" w:hash="" w:salt=""/>
  <w:defaultTabStop w:val="709"/>
  <w:autoHyphenation w:val="true"/>
  <w:hyphenationZone w:val="0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82ea3"/>
    <w:pPr>
      <w:widowControl/>
      <w:suppressAutoHyphens w:val="true"/>
      <w:bidi w:val="0"/>
      <w:spacing w:lineRule="auto" w:line="360" w:before="360" w:after="360"/>
      <w:jc w:val="left"/>
    </w:pPr>
    <w:rPr>
      <w:rFonts w:ascii="Calibri" w:hAnsi="Calibri" w:eastAsia="Times New Roman" w:cs="Times New Roman"/>
      <w:color w:val="auto"/>
      <w:kern w:val="0"/>
      <w:sz w:val="24"/>
      <w:szCs w:val="24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482ea3"/>
    <w:pPr>
      <w:keepNext w:val="true"/>
      <w:keepLines/>
      <w:spacing w:lineRule="auto" w:line="276"/>
      <w:outlineLvl w:val="0"/>
    </w:pPr>
    <w:rPr>
      <w:rFonts w:eastAsia="" w:cs="" w:cstheme="majorBidi" w:eastAsiaTheme="majorEastAsia"/>
      <w:b/>
      <w:bCs/>
      <w:sz w:val="26"/>
      <w:szCs w:val="28"/>
    </w:rPr>
  </w:style>
  <w:style w:type="paragraph" w:styleId="Heading2">
    <w:name w:val="heading 2"/>
    <w:basedOn w:val="Normal"/>
    <w:next w:val="Normal"/>
    <w:link w:val="Nagwek2Znak"/>
    <w:unhideWhenUsed/>
    <w:qFormat/>
    <w:rsid w:val="00482ea3"/>
    <w:pPr>
      <w:keepNext w:val="true"/>
      <w:keepLines/>
      <w:spacing w:lineRule="auto" w:line="276"/>
      <w:outlineLvl w:val="1"/>
    </w:pPr>
    <w:rPr>
      <w:rFonts w:eastAsia="" w:cs="" w:cstheme="majorBidi" w:eastAsiaTheme="majorEastAsia"/>
      <w:b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cb0f0d"/>
    <w:rPr/>
  </w:style>
  <w:style w:type="character" w:styleId="Strong">
    <w:name w:val="Strong"/>
    <w:uiPriority w:val="22"/>
    <w:qFormat/>
    <w:rsid w:val="00ef30f0"/>
    <w:rPr>
      <w:b/>
      <w:bCs/>
    </w:rPr>
  </w:style>
  <w:style w:type="character" w:styleId="Nagwek1Znak" w:customStyle="1">
    <w:name w:val="Nagłówek 1 Znak"/>
    <w:basedOn w:val="DefaultParagraphFont"/>
    <w:qFormat/>
    <w:rsid w:val="00482ea3"/>
    <w:rPr>
      <w:rFonts w:eastAsia="" w:cs="" w:cstheme="majorBidi" w:eastAsiaTheme="majorEastAsia"/>
      <w:b/>
      <w:bCs/>
      <w:sz w:val="26"/>
      <w:szCs w:val="28"/>
    </w:rPr>
  </w:style>
  <w:style w:type="character" w:styleId="Hyperlink">
    <w:name w:val="Hyperlink"/>
    <w:basedOn w:val="DefaultParagraphFont"/>
    <w:unhideWhenUsed/>
    <w:rsid w:val="008531d2"/>
    <w:rPr>
      <w:color w:themeColor="hyperlink" w:val="0563C1"/>
      <w:u w:val="single"/>
    </w:rPr>
  </w:style>
  <w:style w:type="character" w:styleId="CommentReference">
    <w:name w:val="annotation reference"/>
    <w:basedOn w:val="DefaultParagraphFont"/>
    <w:semiHidden/>
    <w:unhideWhenUsed/>
    <w:qFormat/>
    <w:rsid w:val="002e4ce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qFormat/>
    <w:rsid w:val="002e4cef"/>
    <w:rPr>
      <w:lang w:val="pl-PL" w:eastAsia="pl-PL"/>
    </w:rPr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2e4cef"/>
    <w:rPr>
      <w:b/>
      <w:bCs/>
      <w:lang w:val="pl-PL" w:eastAsia="pl-PL"/>
    </w:rPr>
  </w:style>
  <w:style w:type="character" w:styleId="PlaceholderText">
    <w:name w:val="Placeholder Text"/>
    <w:basedOn w:val="DefaultParagraphFont"/>
    <w:uiPriority w:val="99"/>
    <w:semiHidden/>
    <w:qFormat/>
    <w:rsid w:val="00994165"/>
    <w:rPr>
      <w:color w:val="808080"/>
    </w:rPr>
  </w:style>
  <w:style w:type="character" w:styleId="StopkaZnak" w:customStyle="1">
    <w:name w:val="Stopka Znak"/>
    <w:basedOn w:val="DefaultParagraphFont"/>
    <w:uiPriority w:val="99"/>
    <w:qFormat/>
    <w:rsid w:val="00c73093"/>
    <w:rPr>
      <w:sz w:val="24"/>
      <w:szCs w:val="24"/>
      <w:lang w:eastAsia="pl-PL"/>
    </w:rPr>
  </w:style>
  <w:style w:type="character" w:styleId="FollowedHyperlink">
    <w:name w:val="FollowedHyperlink"/>
    <w:basedOn w:val="DefaultParagraphFont"/>
    <w:semiHidden/>
    <w:unhideWhenUsed/>
    <w:rsid w:val="006d62c9"/>
    <w:rPr>
      <w:color w:themeColor="followedHyperlink" w:val="954F72"/>
      <w:u w:val="single"/>
    </w:rPr>
  </w:style>
  <w:style w:type="character" w:styleId="NagwekZnak" w:customStyle="1">
    <w:name w:val="Nagłówek Znak"/>
    <w:basedOn w:val="DefaultParagraphFont"/>
    <w:uiPriority w:val="99"/>
    <w:qFormat/>
    <w:rsid w:val="00af3cb9"/>
    <w:rPr/>
  </w:style>
  <w:style w:type="character" w:styleId="Nagwek2Znak" w:customStyle="1">
    <w:name w:val="Nagłówek 2 Znak"/>
    <w:basedOn w:val="DefaultParagraphFont"/>
    <w:qFormat/>
    <w:rsid w:val="00482ea3"/>
    <w:rPr>
      <w:rFonts w:eastAsia="" w:cs="" w:cstheme="majorBidi" w:eastAsiaTheme="majorEastAsia"/>
      <w:b/>
      <w:szCs w:val="26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f72ab"/>
    <w:rPr>
      <w:color w:val="605E5C"/>
      <w:shd w:fill="E1DFDD" w:val="clear"/>
    </w:rPr>
  </w:style>
  <w:style w:type="character" w:styleId="AkapitzlistZnak" w:customStyle="1">
    <w:name w:val="Akapit z listą Znak"/>
    <w:link w:val="ListParagraph"/>
    <w:uiPriority w:val="34"/>
    <w:qFormat/>
    <w:locked/>
    <w:rsid w:val="00e86fdd"/>
    <w:rPr/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77876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777876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DocumentMap">
    <w:name w:val="Document Map"/>
    <w:basedOn w:val="Normal"/>
    <w:semiHidden/>
    <w:qFormat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qFormat/>
    <w:rsid w:val="00343996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AkapitzlistZnak"/>
    <w:uiPriority w:val="34"/>
    <w:qFormat/>
    <w:rsid w:val="00ee312e"/>
    <w:pPr>
      <w:spacing w:before="360" w:after="360"/>
      <w:ind w:left="720"/>
      <w:contextualSpacing/>
    </w:pPr>
    <w:rPr/>
  </w:style>
  <w:style w:type="paragraph" w:styleId="CommentText">
    <w:name w:val="annotation text"/>
    <w:basedOn w:val="Normal"/>
    <w:link w:val="TekstkomentarzaZnak"/>
    <w:unhideWhenUsed/>
    <w:rsid w:val="002e4cef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semiHidden/>
    <w:unhideWhenUsed/>
    <w:qFormat/>
    <w:rsid w:val="002e4cef"/>
    <w:pPr/>
    <w:rPr>
      <w:b/>
      <w:bCs/>
    </w:rPr>
  </w:style>
  <w:style w:type="paragraph" w:styleId="Revision">
    <w:name w:val="Revision"/>
    <w:uiPriority w:val="99"/>
    <w:semiHidden/>
    <w:qFormat/>
    <w:rsid w:val="00797bba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Zawartoramki" w:customStyle="1">
    <w:name w:val="Zawartość ramki"/>
    <w:basedOn w:val="Normal"/>
    <w:qFormat/>
    <w:pPr/>
    <w:rPr/>
  </w:style>
  <w:style w:type="paragraph" w:styleId="Zawartoramkiuser" w:customStyle="1">
    <w:name w:val="Zawartość ramki (user)"/>
    <w:basedOn w:val="Normal"/>
    <w:qFormat/>
    <w:pPr/>
    <w:rPr/>
  </w:style>
  <w:style w:type="numbering" w:styleId="Bezlisty" w:customStyle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463fa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peat.net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60657-E4CD-401F-A9B1-080A3E50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Application>LibreOffice/26.2.2.2$Windows_X86_64 LibreOffice_project/1f77d10d6938fd34972958f64b2bcfa54f8b1ba5</Application>
  <AppVersion>15.0000</AppVersion>
  <Pages>11</Pages>
  <Words>3433</Words>
  <Characters>23707</Characters>
  <CharactersWithSpaces>26819</CharactersWithSpaces>
  <Paragraphs>271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2024-11-26T09:32:00Z</dcterms:created>
  <dc:creator/>
  <dc:description/>
  <dc:language>pl-PL</dc:language>
  <cp:lastModifiedBy/>
  <cp:lastPrinted>2025-09-29T11:15:00Z</cp:lastPrinted>
  <dcterms:modified xsi:type="dcterms:W3CDTF">2026-04-28T14:41:19Z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